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80" w:rsidRPr="006F4A89" w:rsidRDefault="00FD2280" w:rsidP="009660C4">
      <w:pPr>
        <w:spacing w:before="600" w:after="600" w:line="240" w:lineRule="auto"/>
        <w:ind w:left="312"/>
        <w:jc w:val="center"/>
        <w:rPr>
          <w:rFonts w:ascii="Source Sans Pro" w:eastAsia="Times New Roman" w:hAnsi="Source Sans Pro" w:cs="Arial"/>
          <w:color w:val="000000"/>
          <w:sz w:val="52"/>
          <w:szCs w:val="52"/>
          <w:lang w:eastAsia="fr-FR"/>
        </w:rPr>
      </w:pPr>
      <w:r w:rsidRPr="006F4A89">
        <w:rPr>
          <w:rFonts w:ascii="Source Sans Pro" w:eastAsia="Times New Roman" w:hAnsi="Source Sans Pro" w:cs="Arial"/>
          <w:b/>
          <w:bCs/>
          <w:color w:val="000000"/>
          <w:sz w:val="52"/>
          <w:szCs w:val="52"/>
          <w:lang w:eastAsia="fr-FR"/>
        </w:rPr>
        <w:t>Prolongement des durées d’attribution de certaines prestations</w:t>
      </w:r>
      <w:r w:rsidR="006F4A89">
        <w:rPr>
          <w:rFonts w:ascii="Source Sans Pro" w:eastAsia="Times New Roman" w:hAnsi="Source Sans Pro" w:cs="Arial"/>
          <w:b/>
          <w:bCs/>
          <w:color w:val="000000"/>
          <w:sz w:val="52"/>
          <w:szCs w:val="52"/>
          <w:lang w:eastAsia="fr-FR"/>
        </w:rPr>
        <w:t>. Personnes en situation de handicap</w:t>
      </w:r>
    </w:p>
    <w:p w:rsidR="00FD2280" w:rsidRPr="006F4A89" w:rsidRDefault="00FD2280" w:rsidP="009660C4">
      <w:pPr>
        <w:spacing w:before="100" w:beforeAutospacing="1" w:after="100" w:afterAutospacing="1" w:line="240" w:lineRule="auto"/>
        <w:ind w:left="312"/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</w:pPr>
      <w:r w:rsidRPr="00053243">
        <w:rPr>
          <w:rFonts w:ascii="Source Sans Pro" w:eastAsia="Times New Roman" w:hAnsi="Source Sans Pro" w:cs="Arial"/>
          <w:b/>
          <w:color w:val="000000"/>
          <w:sz w:val="36"/>
          <w:szCs w:val="36"/>
          <w:lang w:eastAsia="fr-FR"/>
        </w:rPr>
        <w:t>Les décrets n° 2018-1222 du 24 décembre 2018 et n° 2018-1294 du 27 décembre 2018</w:t>
      </w:r>
      <w:r w:rsidRPr="00FD2280">
        <w:rPr>
          <w:rFonts w:ascii="Source Sans Pro" w:eastAsia="Times New Roman" w:hAnsi="Source Sans Pro" w:cs="Arial"/>
          <w:b/>
          <w:color w:val="000000"/>
          <w:sz w:val="24"/>
          <w:szCs w:val="24"/>
          <w:lang w:eastAsia="fr-FR"/>
        </w:rPr>
        <w:t xml:space="preserve"> </w:t>
      </w:r>
      <w:r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>ont modifié les durées d’attribution de certaines prestations délivrées par la CDAPH.</w:t>
      </w:r>
      <w:r w:rsidR="00A1364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</w:t>
      </w:r>
      <w:r w:rsidR="006F4A8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</w:t>
      </w:r>
      <w:r w:rsidR="00A1364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</w:t>
      </w:r>
      <w:r w:rsidR="009660C4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     </w:t>
      </w:r>
      <w:r w:rsidR="00053243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                                </w:t>
      </w:r>
      <w:r w:rsidR="009660C4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</w:t>
      </w:r>
      <w:r w:rsidR="00A1364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</w:t>
      </w:r>
      <w:r w:rsidR="00345680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</w:t>
      </w:r>
      <w:r w:rsidR="00053243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</w:t>
      </w:r>
      <w:r w:rsidR="00A13649" w:rsidRPr="00053243">
        <w:rPr>
          <w:rFonts w:ascii="Source Sans Pro" w:eastAsia="Times New Roman" w:hAnsi="Source Sans Pro" w:cs="Arial"/>
          <w:b/>
          <w:color w:val="000000"/>
          <w:sz w:val="36"/>
          <w:szCs w:val="36"/>
          <w:lang w:eastAsia="fr-FR"/>
        </w:rPr>
        <w:t>Le décret n° 2019-1501 du 30 décembre 2019</w:t>
      </w:r>
      <w:r w:rsidR="00A13649" w:rsidRPr="006F4A89">
        <w:rPr>
          <w:rFonts w:ascii="Source Sans Pro" w:eastAsia="Times New Roman" w:hAnsi="Source Sans Pro" w:cs="Arial"/>
          <w:b/>
          <w:color w:val="000000"/>
          <w:sz w:val="28"/>
          <w:szCs w:val="28"/>
          <w:lang w:eastAsia="fr-FR"/>
        </w:rPr>
        <w:t xml:space="preserve"> (JO du 31 décembre) </w:t>
      </w:r>
      <w:r w:rsidR="00A1364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>relatif</w:t>
      </w:r>
      <w:r w:rsidR="006F4A8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à la prolongation des droits sans limitation de durée</w:t>
      </w:r>
      <w:r w:rsidR="00E50A60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</w:t>
      </w:r>
      <w:r w:rsidR="006F4A8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prolonge les décrets précédents.</w:t>
      </w:r>
      <w:r w:rsidR="00E50A60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 </w:t>
      </w:r>
      <w:r w:rsidR="006F4A89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                                                                              </w:t>
      </w:r>
      <w:r w:rsidR="00E50A60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</w:t>
      </w:r>
      <w:r w:rsidR="00053243" w:rsidRPr="00053243">
        <w:rPr>
          <w:rFonts w:ascii="Source Sans Pro" w:eastAsia="Times New Roman" w:hAnsi="Source Sans Pro" w:cs="Arial"/>
          <w:color w:val="000000"/>
          <w:sz w:val="28"/>
          <w:szCs w:val="28"/>
          <w:lang w:eastAsia="fr-FR"/>
        </w:rPr>
        <w:t xml:space="preserve">                    </w:t>
      </w:r>
      <w:r w:rsidRPr="006F4A89">
        <w:rPr>
          <w:rFonts w:ascii="Source Sans Pro" w:eastAsia="Times New Roman" w:hAnsi="Source Sans Pro" w:cs="Arial"/>
          <w:b/>
          <w:color w:val="000000"/>
          <w:sz w:val="32"/>
          <w:szCs w:val="32"/>
          <w:lang w:eastAsia="fr-FR"/>
        </w:rPr>
        <w:t>De quelles prestations s’agit-il ?</w:t>
      </w:r>
      <w:r w:rsidR="00345680" w:rsidRPr="006F4A89">
        <w:rPr>
          <w:rFonts w:ascii="Source Sans Pro" w:eastAsia="Times New Roman" w:hAnsi="Source Sans Pro" w:cs="Arial"/>
          <w:b/>
          <w:color w:val="000000"/>
          <w:sz w:val="32"/>
          <w:szCs w:val="32"/>
          <w:lang w:eastAsia="fr-FR"/>
        </w:rPr>
        <w:t xml:space="preserve">                                                                                                   </w:t>
      </w:r>
      <w:r w:rsidR="0020040E" w:rsidRPr="006F4A89">
        <w:rPr>
          <w:rFonts w:ascii="Source Sans Pro" w:eastAsia="Times New Roman" w:hAnsi="Source Sans Pro" w:cs="Arial"/>
          <w:b/>
          <w:color w:val="000000"/>
          <w:sz w:val="32"/>
          <w:szCs w:val="32"/>
          <w:lang w:eastAsia="fr-FR"/>
        </w:rPr>
        <w:t xml:space="preserve">                                                             </w:t>
      </w:r>
      <w:r w:rsidRPr="006F4A89">
        <w:rPr>
          <w:rFonts w:ascii="Source Sans Pro" w:eastAsia="Times New Roman" w:hAnsi="Source Sans Pro" w:cs="Arial"/>
          <w:b/>
          <w:color w:val="000000"/>
          <w:sz w:val="32"/>
          <w:szCs w:val="32"/>
          <w:lang w:eastAsia="fr-FR"/>
        </w:rPr>
        <w:t xml:space="preserve">A quelles conditions peuvent-elles être attribuées à titre </w:t>
      </w:r>
      <w:r w:rsidR="00566B60" w:rsidRPr="006F4A89">
        <w:rPr>
          <w:rFonts w:ascii="Source Sans Pro" w:eastAsia="Times New Roman" w:hAnsi="Source Sans Pro" w:cs="Arial"/>
          <w:b/>
          <w:color w:val="000000"/>
          <w:sz w:val="32"/>
          <w:szCs w:val="32"/>
          <w:lang w:eastAsia="fr-FR"/>
        </w:rPr>
        <w:t>définitif ?</w:t>
      </w:r>
      <w:r w:rsidR="00566B60" w:rsidRPr="006F4A89">
        <w:rPr>
          <w:rFonts w:ascii="Source Sans Pro" w:eastAsia="Times New Roman" w:hAnsi="Source Sans Pro" w:cs="Arial"/>
          <w:b/>
          <w:color w:val="000000"/>
          <w:sz w:val="28"/>
          <w:szCs w:val="28"/>
          <w:lang w:eastAsia="fr-FR"/>
        </w:rPr>
        <w:t xml:space="preserve">                              </w:t>
      </w:r>
    </w:p>
    <w:tbl>
      <w:tblPr>
        <w:tblW w:w="4902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2273"/>
        <w:gridCol w:w="2041"/>
        <w:gridCol w:w="2190"/>
        <w:gridCol w:w="2107"/>
      </w:tblGrid>
      <w:tr w:rsidR="00FD2280" w:rsidRPr="00FD2280" w:rsidTr="00566B60">
        <w:trPr>
          <w:trHeight w:val="791"/>
        </w:trPr>
        <w:tc>
          <w:tcPr>
            <w:tcW w:w="1528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36"/>
                <w:szCs w:val="36"/>
                <w:lang w:eastAsia="fr-FR"/>
              </w:rPr>
            </w:pPr>
            <w:r w:rsidRPr="00FD2280">
              <w:rPr>
                <w:rFonts w:ascii="Helvetica" w:eastAsia="Times New Roman" w:hAnsi="Helvetica" w:cs="Times New Roman"/>
                <w:b/>
                <w:bCs/>
                <w:color w:val="000000"/>
                <w:sz w:val="36"/>
                <w:szCs w:val="36"/>
                <w:lang w:eastAsia="fr-FR"/>
              </w:rPr>
              <w:t>Durée illimitée</w:t>
            </w:r>
          </w:p>
        </w:tc>
        <w:tc>
          <w:tcPr>
            <w:tcW w:w="2116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fr-FR"/>
              </w:rPr>
              <w:t>AAH</w:t>
            </w:r>
          </w:p>
        </w:tc>
        <w:tc>
          <w:tcPr>
            <w:tcW w:w="1900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fr-FR"/>
              </w:rPr>
              <w:t>RQTH</w:t>
            </w:r>
          </w:p>
        </w:tc>
        <w:tc>
          <w:tcPr>
            <w:tcW w:w="2039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fr-FR"/>
              </w:rPr>
              <w:t>CMI invalidité</w:t>
            </w:r>
          </w:p>
        </w:tc>
        <w:tc>
          <w:tcPr>
            <w:tcW w:w="1962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fr-FR"/>
              </w:rPr>
              <w:t>AEEH de base</w:t>
            </w:r>
          </w:p>
        </w:tc>
      </w:tr>
      <w:tr w:rsidR="00FD2280" w:rsidRPr="00FD2280" w:rsidTr="00566B60">
        <w:trPr>
          <w:trHeight w:val="4306"/>
        </w:trPr>
        <w:tc>
          <w:tcPr>
            <w:tcW w:w="1528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Conditions</w:t>
            </w:r>
          </w:p>
        </w:tc>
        <w:tc>
          <w:tcPr>
            <w:tcW w:w="2116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d’incapacité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≥ 80%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limitations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d’activité non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susceptibles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d’évolution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favorable</w:t>
            </w:r>
          </w:p>
        </w:tc>
        <w:tc>
          <w:tcPr>
            <w:tcW w:w="1900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Altération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définitive de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certaines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fonctions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réduisant les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possibilités de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maintien dans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l’emploi</w:t>
            </w:r>
          </w:p>
        </w:tc>
        <w:tc>
          <w:tcPr>
            <w:tcW w:w="2039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d’incapacité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≥ 80%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limitations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d’activité non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susceptibles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d’évolution 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favorable</w:t>
            </w:r>
          </w:p>
        </w:tc>
        <w:tc>
          <w:tcPr>
            <w:tcW w:w="1962" w:type="dxa"/>
            <w:vAlign w:val="center"/>
            <w:hideMark/>
          </w:tcPr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d’incapacité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≥ 80%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l’état de santé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non susceptible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de s’améliorer :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AEEH jusqu’au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basculement vers</w:t>
            </w:r>
          </w:p>
          <w:p w:rsidR="00FD2280" w:rsidRPr="00FD2280" w:rsidRDefault="00FD2280" w:rsidP="00566B60">
            <w:pPr>
              <w:spacing w:before="100" w:beforeAutospacing="1" w:after="100" w:afterAutospacing="1" w:line="288" w:lineRule="atLeast"/>
              <w:ind w:left="57" w:right="57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fr-FR"/>
              </w:rPr>
            </w:pPr>
            <w:r w:rsidRPr="00FD22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l’AAH (20 ans en principe)</w:t>
            </w:r>
          </w:p>
        </w:tc>
      </w:tr>
    </w:tbl>
    <w:p w:rsidR="006F4A89" w:rsidRDefault="006F4A89" w:rsidP="002201F9">
      <w:pPr>
        <w:spacing w:before="100" w:beforeAutospacing="1" w:after="360" w:line="240" w:lineRule="auto"/>
        <w:ind w:right="150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</w:pPr>
    </w:p>
    <w:p w:rsidR="006F4A89" w:rsidRDefault="006F4A89" w:rsidP="002201F9">
      <w:pPr>
        <w:spacing w:before="100" w:beforeAutospacing="1" w:after="360" w:line="240" w:lineRule="auto"/>
        <w:ind w:right="150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</w:pPr>
    </w:p>
    <w:p w:rsidR="009660C4" w:rsidRDefault="009660C4" w:rsidP="009660C4">
      <w:pPr>
        <w:spacing w:before="100" w:beforeAutospacing="1" w:after="360" w:line="240" w:lineRule="auto"/>
        <w:ind w:left="-142" w:right="150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</w:pPr>
    </w:p>
    <w:p w:rsidR="009660C4" w:rsidRDefault="009660C4" w:rsidP="009660C4">
      <w:pPr>
        <w:pStyle w:val="Paragraphedeliste"/>
        <w:spacing w:before="100" w:beforeAutospacing="1" w:after="360" w:line="240" w:lineRule="auto"/>
        <w:ind w:right="150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</w:pPr>
    </w:p>
    <w:p w:rsidR="009660C4" w:rsidRPr="009660C4" w:rsidRDefault="006F4A89" w:rsidP="00053243">
      <w:pPr>
        <w:pStyle w:val="Paragraphedeliste"/>
        <w:spacing w:before="100" w:beforeAutospacing="1" w:after="360" w:line="240" w:lineRule="auto"/>
        <w:ind w:left="142" w:right="150" w:firstLine="578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r w:rsidRPr="006F4A89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  <w:lastRenderedPageBreak/>
        <w:t>Précisions :</w:t>
      </w:r>
      <w:r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eastAsia="fr-FR"/>
        </w:rPr>
        <w:t xml:space="preserve">                                                                                             </w:t>
      </w:r>
      <w:r w:rsid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1-</w:t>
      </w:r>
      <w:r w:rsidR="00FD2280" w:rsidRP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 AAH</w:t>
      </w:r>
      <w:r w:rsid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 :                                                                                                                           </w:t>
      </w:r>
      <w:r w:rsidR="0020040E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  <w:r w:rsid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  <w:r w:rsidR="0020040E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</w:t>
      </w:r>
      <w:r w:rsidR="009660C4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</w:t>
      </w:r>
      <w:r w:rsidR="00FD2280"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A compter du 1er janvier 2019, la durée de l’allocation </w:t>
      </w:r>
      <w:r w:rsidR="009660C4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est :                                                                                         - soit de 1 à 5 ans,                                                                                                                                                     - soit de 1 à 10 ans pour les personnes dont le taux d’incapacité est d’au moins 80% pour une durée limitée (idem pour le complément de ressources),                                                                                                 - </w:t>
      </w:r>
      <w:r w:rsidR="009660C4" w:rsidRPr="009660C4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soit sans limitation de durée si le taux d’incapacité permanente est d'au moins 80 % et dont les limitations d'activité ne sont « pas susceptibles d'évolution favorable, compte tenu des données de la science"      </w:t>
      </w:r>
    </w:p>
    <w:p w:rsidR="009660C4" w:rsidRDefault="009660C4" w:rsidP="009660C4">
      <w:pPr>
        <w:spacing w:before="100" w:beforeAutospacing="1" w:after="600" w:line="240" w:lineRule="auto"/>
        <w:ind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2- </w:t>
      </w:r>
      <w:r w:rsidRP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CMI MENTION INVALIDITE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 :                                                                                                           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Depuis le 1er janvier 2019, la durée de validité de la carte est :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soit de 1 à 20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soit définitive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 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pour certains bénéficiaires de l’allocation personnalisée d’autonomie aux personnes âgées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et pour les personnes dont le taux d’incapacité permanente est d’au moins 80 % et dont les limitations d’activité ne sont pas susceptibles d’évolution favorable, compte tenu des données de la science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.  </w:t>
      </w:r>
      <w:r w:rsidRP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ATTENTION 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: il est question ici de la CMI mention invalidité. La CMI mention stationnement n’est plus attribuée à titre définitif, sauf pour les personnes âgées bénéficiaires de l’allocation personnalisée d’autono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mie et classées en GIR I ou II.         </w:t>
      </w:r>
    </w:p>
    <w:p w:rsidR="009660C4" w:rsidRPr="00FD2280" w:rsidRDefault="009660C4" w:rsidP="006A111D">
      <w:pPr>
        <w:spacing w:before="100" w:beforeAutospacing="1" w:after="600" w:line="240" w:lineRule="auto"/>
        <w:ind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3. </w:t>
      </w:r>
      <w:r w:rsidRP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AEEH</w:t>
      </w:r>
      <w:r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 :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AEEH de base : depuis le 1er janvier 2019, la durée d’attribution de l’allocation est :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ab/>
        <w:t xml:space="preserve">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Si taux entre 50% et 80% : de 2 à 5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ab/>
        <w:t xml:space="preserve">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Si taux d’incapacité supérieur à 80% avec un état de santé susceptible de se stabiliser ou de s’améliorer: de 2 à 5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ab/>
        <w:t xml:space="preserve">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Si taux d’incapacité supérieur à 80% et que l’état de santé n’est pas susc</w:t>
      </w:r>
      <w:r w:rsidR="0016517C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eptible de s’améliorer, attribution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jusqu’au basculement vers l’AAH (20 ans en principe)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</w:t>
      </w:r>
      <w:r w:rsidRPr="006A111D">
        <w:rPr>
          <w:rFonts w:ascii="Source Sans Pro" w:eastAsia="Times New Roman" w:hAnsi="Source Sans Pro" w:cs="Arial"/>
          <w:b/>
          <w:color w:val="000000"/>
          <w:sz w:val="24"/>
          <w:szCs w:val="24"/>
          <w:lang w:eastAsia="fr-FR"/>
        </w:rPr>
        <w:t>Complément AEEH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, depuis le 1er janvier 2019, la durée d’attribution de l’allocation est de :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ab/>
        <w:t xml:space="preserve">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Si taux de 50 à 79% : 2 à 5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ab/>
        <w:t xml:space="preserve">-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Si taux de 80% ou plus: 3 à 5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</w:t>
      </w:r>
      <w:r w:rsidRPr="00FD2280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ATTENTION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 : pas d’attribution pour une durée de plus de 5 ans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  <w:r w:rsidRPr="00FD2280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 </w:t>
      </w:r>
    </w:p>
    <w:p w:rsidR="006A111D" w:rsidRDefault="009660C4" w:rsidP="009660C4">
      <w:pPr>
        <w:numPr>
          <w:ilvl w:val="1"/>
          <w:numId w:val="11"/>
        </w:numPr>
        <w:spacing w:before="100" w:beforeAutospacing="1" w:after="100" w:afterAutospacing="1" w:line="240" w:lineRule="auto"/>
        <w:ind w:left="31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r w:rsidRPr="002201F9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RQTH</w:t>
      </w:r>
      <w:r w:rsidRPr="002201F9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</w:t>
      </w:r>
      <w:r w:rsidRPr="002201F9">
        <w:rPr>
          <w:rFonts w:ascii="Source Sans Pro" w:eastAsia="Times New Roman" w:hAnsi="Source Sans Pro" w:cs="Arial"/>
          <w:b/>
          <w:color w:val="000000"/>
          <w:sz w:val="24"/>
          <w:szCs w:val="24"/>
          <w:lang w:eastAsia="fr-FR"/>
        </w:rPr>
        <w:t>A partir du 1er janvier 2020, elle pourra être attribuée sans limitation de durée à condition que la personne « présente, compte tenu des données de la science, une altération définitive d'une ou plusieurs fonctions physique, sensorielle, mentale, cognitive ou psychique qui réduit ses possibilités d'obtenir ou de conserver un emploi.</w:t>
      </w:r>
      <w:r w:rsidRPr="002201F9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 »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</w:p>
    <w:p w:rsidR="006A111D" w:rsidRPr="006A111D" w:rsidRDefault="006A111D" w:rsidP="006A111D">
      <w:pPr>
        <w:spacing w:before="100" w:beforeAutospacing="1" w:after="100" w:afterAutospacing="1" w:line="240" w:lineRule="auto"/>
        <w:ind w:left="1080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</w:p>
    <w:p w:rsidR="00A75C72" w:rsidRDefault="006A111D" w:rsidP="00206CE2">
      <w:pPr>
        <w:numPr>
          <w:ilvl w:val="1"/>
          <w:numId w:val="11"/>
        </w:numPr>
        <w:suppressLineNumbers/>
        <w:spacing w:before="100" w:beforeAutospacing="1" w:after="100" w:afterAutospacing="1" w:line="240" w:lineRule="auto"/>
        <w:ind w:left="31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r w:rsidRPr="00A75C72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Le décret du 30</w:t>
      </w:r>
      <w:r w:rsidRPr="005D0802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fr-FR"/>
        </w:rPr>
        <w:t>.</w:t>
      </w:r>
      <w:r w:rsidRPr="005D0802">
        <w:rPr>
          <w:rFonts w:ascii="Source Sans Pro" w:eastAsia="Times New Roman" w:hAnsi="Source Sans Pro" w:cs="Arial"/>
          <w:b/>
          <w:color w:val="000000"/>
          <w:sz w:val="24"/>
          <w:szCs w:val="24"/>
          <w:lang w:eastAsia="fr-FR"/>
        </w:rPr>
        <w:t>12.2019</w:t>
      </w:r>
      <w:r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permet aux commissions départementales d’autonomie des personnes handicapées (CDAPH) et aux présidents des conseils départementaux (PCD) de prolonger les droits ouverts aux personnes handicapées sans nouvelle demande de leur part.</w:t>
      </w:r>
      <w:r w:rsidR="009660C4"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</w:t>
      </w:r>
      <w:r w:rsidR="005D080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</w:t>
      </w:r>
      <w:r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Lorsque la CDAPH et le PCD prolongent les droits sans demande du bénéficiaire, il</w:t>
      </w:r>
      <w:r w:rsidR="005D080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s</w:t>
      </w:r>
      <w:r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précise</w:t>
      </w:r>
      <w:r w:rsidR="005D080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n</w:t>
      </w:r>
      <w:r w:rsidR="005A7488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t</w:t>
      </w:r>
      <w:r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dans la décision que le bénéficiaire peut à tout moment solliciter la MDPH</w:t>
      </w:r>
      <w:r w:rsidR="00A75C72"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afin d’obtenir un nouvel examen de sa situation et, le cas échéant, la révision de ses droits.</w:t>
      </w:r>
      <w:r w:rsidR="009660C4"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  <w:r w:rsid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>(Application de ces dispositions à compter du 1</w:t>
      </w:r>
      <w:r w:rsidR="00A75C72" w:rsidRPr="00A75C72">
        <w:rPr>
          <w:rFonts w:ascii="Source Sans Pro" w:eastAsia="Times New Roman" w:hAnsi="Source Sans Pro" w:cs="Arial"/>
          <w:color w:val="000000"/>
          <w:sz w:val="24"/>
          <w:szCs w:val="24"/>
          <w:vertAlign w:val="superscript"/>
          <w:lang w:eastAsia="fr-FR"/>
        </w:rPr>
        <w:t>er</w:t>
      </w:r>
      <w:r w:rsid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janvier 2020).</w:t>
      </w:r>
      <w:r w:rsidR="009660C4" w:rsidRP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</w:t>
      </w:r>
      <w:r w:rsidR="00A75C72"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</w:t>
      </w:r>
    </w:p>
    <w:p w:rsidR="009660C4" w:rsidRDefault="009660C4" w:rsidP="009660C4">
      <w:pPr>
        <w:spacing w:before="100" w:beforeAutospacing="1" w:after="360" w:line="240" w:lineRule="auto"/>
        <w:ind w:left="-14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</w:t>
      </w:r>
    </w:p>
    <w:p w:rsidR="009660C4" w:rsidRDefault="009660C4" w:rsidP="009660C4">
      <w:pPr>
        <w:spacing w:before="100" w:beforeAutospacing="1" w:after="360" w:line="240" w:lineRule="auto"/>
        <w:ind w:left="-14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</w:p>
    <w:p w:rsidR="009660C4" w:rsidRDefault="009660C4" w:rsidP="009660C4">
      <w:pPr>
        <w:spacing w:before="100" w:beforeAutospacing="1" w:after="360" w:line="240" w:lineRule="auto"/>
        <w:ind w:left="-14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</w:p>
    <w:p w:rsidR="009660C4" w:rsidRDefault="009660C4" w:rsidP="009660C4">
      <w:pPr>
        <w:spacing w:before="100" w:beforeAutospacing="1" w:after="360" w:line="240" w:lineRule="auto"/>
        <w:ind w:left="-142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</w:p>
    <w:p w:rsidR="00FD2280" w:rsidRPr="00FD2280" w:rsidRDefault="00FD2280" w:rsidP="009660C4">
      <w:pPr>
        <w:spacing w:before="600" w:after="600" w:line="240" w:lineRule="auto"/>
        <w:ind w:left="1080" w:right="150"/>
        <w:rPr>
          <w:rFonts w:ascii="Source Sans Pro" w:eastAsia="Times New Roman" w:hAnsi="Source Sans Pro" w:cs="Arial"/>
          <w:color w:val="000000"/>
          <w:sz w:val="24"/>
          <w:szCs w:val="24"/>
          <w:lang w:eastAsia="fr-FR"/>
        </w:rPr>
      </w:pPr>
    </w:p>
    <w:p w:rsidR="00FD2280" w:rsidRDefault="00FD2280" w:rsidP="00FD2280"/>
    <w:sectPr w:rsidR="00FD2280" w:rsidSect="0096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AE5"/>
    <w:multiLevelType w:val="hybridMultilevel"/>
    <w:tmpl w:val="2A7AEFA6"/>
    <w:lvl w:ilvl="0" w:tplc="4C0CB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E6A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CC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58A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C9B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A2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FE2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DEE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687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4200"/>
    <w:multiLevelType w:val="hybridMultilevel"/>
    <w:tmpl w:val="757A4FB6"/>
    <w:lvl w:ilvl="0" w:tplc="6AF81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C87922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D8F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F2B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EEF8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82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2D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52E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45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F7240"/>
    <w:multiLevelType w:val="hybridMultilevel"/>
    <w:tmpl w:val="B888D7CC"/>
    <w:lvl w:ilvl="0" w:tplc="B870511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1A81"/>
    <w:multiLevelType w:val="multilevel"/>
    <w:tmpl w:val="0BE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16FF0"/>
    <w:multiLevelType w:val="multilevel"/>
    <w:tmpl w:val="4CB6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54762"/>
    <w:multiLevelType w:val="multilevel"/>
    <w:tmpl w:val="951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01A37"/>
    <w:multiLevelType w:val="hybridMultilevel"/>
    <w:tmpl w:val="EACAECE2"/>
    <w:lvl w:ilvl="0" w:tplc="21BA2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2347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89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B8D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668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E20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3E7E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4CE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608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34E19"/>
    <w:multiLevelType w:val="multilevel"/>
    <w:tmpl w:val="982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46975"/>
    <w:multiLevelType w:val="hybridMultilevel"/>
    <w:tmpl w:val="0C8001DA"/>
    <w:lvl w:ilvl="0" w:tplc="70282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0235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88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0C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66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E0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5CA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7A9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1C3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02295"/>
    <w:multiLevelType w:val="hybridMultilevel"/>
    <w:tmpl w:val="E30015AE"/>
    <w:lvl w:ilvl="0" w:tplc="F6B42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FE3554">
      <w:start w:val="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546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C8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2C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50D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E4D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944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01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679A1"/>
    <w:multiLevelType w:val="hybridMultilevel"/>
    <w:tmpl w:val="BB5AF756"/>
    <w:lvl w:ilvl="0" w:tplc="5F6C3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EAE414">
      <w:start w:val="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8E5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82D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54A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BA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65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02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9A1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427FA"/>
    <w:multiLevelType w:val="multilevel"/>
    <w:tmpl w:val="9CF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60A92"/>
    <w:multiLevelType w:val="hybridMultilevel"/>
    <w:tmpl w:val="5420E8DA"/>
    <w:lvl w:ilvl="0" w:tplc="AC444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3E1AC0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9EB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A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3CA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2CC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744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7ED3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640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25EC8"/>
    <w:multiLevelType w:val="hybridMultilevel"/>
    <w:tmpl w:val="BC2A3DA4"/>
    <w:lvl w:ilvl="0" w:tplc="487E7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14E7B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2C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AE8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4EE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C7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E83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290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0C5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1"/>
    <w:lvlOverride w:ilvl="1">
      <w:lvl w:ilvl="1">
        <w:numFmt w:val="decimal"/>
        <w:lvlText w:val="%2."/>
        <w:lvlJc w:val="left"/>
      </w:lvl>
    </w:lvlOverride>
  </w:num>
  <w:num w:numId="5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9"/>
    <w:lvlOverride w:ilvl="1">
      <w:lvl w:ilvl="1" w:tplc="C5FE3554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80"/>
    <w:rsid w:val="00053243"/>
    <w:rsid w:val="0016517C"/>
    <w:rsid w:val="0020040E"/>
    <w:rsid w:val="002201F9"/>
    <w:rsid w:val="00345680"/>
    <w:rsid w:val="003E3F45"/>
    <w:rsid w:val="00566B60"/>
    <w:rsid w:val="005A7488"/>
    <w:rsid w:val="005D0802"/>
    <w:rsid w:val="006A111D"/>
    <w:rsid w:val="006F4A89"/>
    <w:rsid w:val="00867EE8"/>
    <w:rsid w:val="009660C4"/>
    <w:rsid w:val="00A13649"/>
    <w:rsid w:val="00A65C91"/>
    <w:rsid w:val="00A75C72"/>
    <w:rsid w:val="00C00D17"/>
    <w:rsid w:val="00E50A60"/>
    <w:rsid w:val="00E625EC"/>
    <w:rsid w:val="00ED1FAD"/>
    <w:rsid w:val="00F15F05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14D76-95AB-4D71-BBA8-6DF5740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98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8415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7508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5281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4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AA663746-8F62-454F-A6B0-E9F76441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2</cp:revision>
  <dcterms:created xsi:type="dcterms:W3CDTF">2020-01-11T21:05:00Z</dcterms:created>
  <dcterms:modified xsi:type="dcterms:W3CDTF">2020-01-11T21:05:00Z</dcterms:modified>
</cp:coreProperties>
</file>