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C51F41" w14:textId="2466C4E3" w:rsidR="00410FFE" w:rsidRPr="00410FFE" w:rsidRDefault="00410FFE" w:rsidP="00410FFE">
      <w:pPr>
        <w:shd w:val="clear" w:color="auto" w:fill="FFFFFF"/>
        <w:spacing w:after="120" w:line="240" w:lineRule="auto"/>
        <w:outlineLvl w:val="1"/>
        <w:rPr>
          <w:rFonts w:ascii="Arial" w:eastAsia="Times New Roman" w:hAnsi="Arial" w:cs="Arial"/>
          <w:b/>
          <w:bCs/>
          <w:color w:val="4A5E81"/>
          <w:sz w:val="21"/>
          <w:szCs w:val="21"/>
          <w:lang w:eastAsia="fr-FR"/>
        </w:rPr>
      </w:pPr>
      <w:r w:rsidRPr="00410FFE">
        <w:rPr>
          <w:rFonts w:ascii="Arial" w:eastAsia="Times New Roman" w:hAnsi="Arial" w:cs="Arial"/>
          <w:b/>
          <w:bCs/>
          <w:color w:val="4A5E81"/>
          <w:sz w:val="21"/>
          <w:szCs w:val="21"/>
          <w:lang w:eastAsia="fr-FR"/>
        </w:rPr>
        <w:t>Article 195</w:t>
      </w:r>
      <w:r>
        <w:rPr>
          <w:rFonts w:ascii="Arial" w:eastAsia="Times New Roman" w:hAnsi="Arial" w:cs="Arial"/>
          <w:b/>
          <w:bCs/>
          <w:color w:val="4A5E81"/>
          <w:sz w:val="21"/>
          <w:szCs w:val="21"/>
          <w:lang w:eastAsia="fr-FR"/>
        </w:rPr>
        <w:t xml:space="preserve"> du code général des impôts.</w:t>
      </w:r>
    </w:p>
    <w:p w14:paraId="6A4CC5C5" w14:textId="77777777" w:rsidR="00410FFE" w:rsidRPr="00410FFE" w:rsidRDefault="00410FFE" w:rsidP="00410FFE">
      <w:pPr>
        <w:shd w:val="clear" w:color="auto" w:fill="FFFFFF"/>
        <w:spacing w:after="0" w:line="240" w:lineRule="auto"/>
        <w:rPr>
          <w:rFonts w:ascii="Arial" w:eastAsia="Times New Roman" w:hAnsi="Arial" w:cs="Arial"/>
          <w:b/>
          <w:bCs/>
          <w:color w:val="3C3C3C"/>
          <w:sz w:val="21"/>
          <w:szCs w:val="21"/>
          <w:lang w:eastAsia="fr-FR"/>
        </w:rPr>
      </w:pPr>
      <w:hyperlink r:id="rId4" w:history="1">
        <w:r w:rsidRPr="00410FFE">
          <w:rPr>
            <w:rFonts w:ascii="Arial" w:eastAsia="Times New Roman" w:hAnsi="Arial" w:cs="Arial"/>
            <w:b/>
            <w:bCs/>
            <w:color w:val="4A5E81"/>
            <w:sz w:val="21"/>
            <w:szCs w:val="21"/>
            <w:u w:val="single"/>
            <w:lang w:eastAsia="fr-FR"/>
          </w:rPr>
          <w:t>Modifié par Décret n°2017-698 du 2 mai 2017 - art. 1</w:t>
        </w:r>
        <w:r w:rsidRPr="00410FFE">
          <w:rPr>
            <w:rFonts w:ascii="Arial" w:eastAsia="Times New Roman" w:hAnsi="Arial" w:cs="Arial"/>
            <w:b/>
            <w:bCs/>
            <w:color w:val="4A5E81"/>
            <w:sz w:val="21"/>
            <w:szCs w:val="21"/>
            <w:u w:val="single"/>
            <w:lang w:eastAsia="fr-FR"/>
          </w:rPr>
          <w:br/>
        </w:r>
      </w:hyperlink>
    </w:p>
    <w:p w14:paraId="1E4C0982"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1. Par dérogation aux dispositions qui précèdent, le revenu imposable des contribuables célibataires, divorcés ou veufs n'ayant pas d'enfant à leur charge, exclusive, principale ou réputée également partagée entre les parents, est divisé par 1,5 lorsque ces contribuables :</w:t>
      </w:r>
    </w:p>
    <w:p w14:paraId="66158C20"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a. Vivent seuls et ont un ou plusieurs enfants majeurs ou faisant l'objet d'une imposition distincte dont ces contribuables ont supporté à titre exclusif ou principal la charge pendant au moins cinq années au cours desquelles ils vivaient seuls ;</w:t>
      </w:r>
    </w:p>
    <w:p w14:paraId="63ADA7E6"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b. Vivent seuls et ont eu un ou plusieurs enfants qui sont morts, à la condition que l'un d'eux au moins ait atteint l'âge de seize ans ou que l'un d'eux au moins soit décédé par suite de faits de guerre et que les contribuables aient supporté à titre exclusif ou principal la charge de l'un au moins de ces enfants pendant au moins cinq années au cours desquelles ils vivaient seuls ;</w:t>
      </w:r>
    </w:p>
    <w:p w14:paraId="180F2190" w14:textId="77777777" w:rsidR="00410FFE" w:rsidRPr="00410FFE" w:rsidRDefault="00410FFE" w:rsidP="00410FFE">
      <w:pPr>
        <w:shd w:val="clear" w:color="auto" w:fill="FFFFFF"/>
        <w:spacing w:after="240" w:line="240" w:lineRule="auto"/>
        <w:rPr>
          <w:rFonts w:ascii="Arial" w:eastAsia="Times New Roman" w:hAnsi="Arial" w:cs="Arial"/>
          <w:b/>
          <w:bCs/>
          <w:color w:val="3C3C3C"/>
          <w:sz w:val="21"/>
          <w:szCs w:val="21"/>
          <w:lang w:eastAsia="fr-FR"/>
        </w:rPr>
      </w:pPr>
      <w:r w:rsidRPr="00410FFE">
        <w:rPr>
          <w:rFonts w:ascii="Arial" w:eastAsia="Times New Roman" w:hAnsi="Arial" w:cs="Arial"/>
          <w:b/>
          <w:bCs/>
          <w:color w:val="3C3C3C"/>
          <w:sz w:val="21"/>
          <w:szCs w:val="21"/>
          <w:lang w:eastAsia="fr-FR"/>
        </w:rPr>
        <w:t>c. Sont titulaires, soit pour une invalidité de 40 % ou au-dessus, soit à titre de veuve, d'une pension prévue par les dispositions du code des pensions militaires d'invalidité et des victimes de guerre reproduisant celles des lois des 31 mars et 24 juin 1919 ;</w:t>
      </w:r>
    </w:p>
    <w:p w14:paraId="17874038"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d. Sont titulaires d'une pension d'invalidité pour accident du travail de 40 % ou au-dessus ;</w:t>
      </w:r>
    </w:p>
    <w:p w14:paraId="3AB772F2" w14:textId="77777777" w:rsidR="00410FFE" w:rsidRPr="00410FFE" w:rsidRDefault="00410FFE" w:rsidP="00410FFE">
      <w:pPr>
        <w:shd w:val="clear" w:color="auto" w:fill="FFFFFF"/>
        <w:spacing w:after="240" w:line="240" w:lineRule="auto"/>
        <w:rPr>
          <w:rFonts w:ascii="Arial" w:eastAsia="Times New Roman" w:hAnsi="Arial" w:cs="Arial"/>
          <w:b/>
          <w:bCs/>
          <w:color w:val="3C3C3C"/>
          <w:sz w:val="21"/>
          <w:szCs w:val="21"/>
          <w:lang w:eastAsia="fr-FR"/>
        </w:rPr>
      </w:pPr>
      <w:proofErr w:type="gramStart"/>
      <w:r w:rsidRPr="00410FFE">
        <w:rPr>
          <w:rFonts w:ascii="Arial" w:eastAsia="Times New Roman" w:hAnsi="Arial" w:cs="Arial"/>
          <w:b/>
          <w:bCs/>
          <w:color w:val="3C3C3C"/>
          <w:sz w:val="21"/>
          <w:szCs w:val="21"/>
          <w:lang w:eastAsia="fr-FR"/>
        </w:rPr>
        <w:t>d</w:t>
      </w:r>
      <w:proofErr w:type="gramEnd"/>
      <w:r w:rsidRPr="00410FFE">
        <w:rPr>
          <w:rFonts w:ascii="Arial" w:eastAsia="Times New Roman" w:hAnsi="Arial" w:cs="Arial"/>
          <w:b/>
          <w:bCs/>
          <w:color w:val="3C3C3C"/>
          <w:sz w:val="21"/>
          <w:szCs w:val="21"/>
          <w:lang w:eastAsia="fr-FR"/>
        </w:rPr>
        <w:t xml:space="preserve"> bis. Sont titulaires de la carte “ mobilité inclusion ” portant la mention “ invalidité ” prévue à l'article </w:t>
      </w:r>
      <w:hyperlink r:id="rId5" w:tooltip="Code de l" w:history="1">
        <w:r w:rsidRPr="00410FFE">
          <w:rPr>
            <w:rFonts w:ascii="Arial" w:eastAsia="Times New Roman" w:hAnsi="Arial" w:cs="Arial"/>
            <w:b/>
            <w:bCs/>
            <w:color w:val="4A5E81"/>
            <w:sz w:val="21"/>
            <w:szCs w:val="21"/>
            <w:u w:val="single"/>
            <w:lang w:eastAsia="fr-FR"/>
          </w:rPr>
          <w:t>L. 241-3</w:t>
        </w:r>
      </w:hyperlink>
      <w:r w:rsidRPr="00410FFE">
        <w:rPr>
          <w:rFonts w:ascii="Arial" w:eastAsia="Times New Roman" w:hAnsi="Arial" w:cs="Arial"/>
          <w:b/>
          <w:bCs/>
          <w:color w:val="3C3C3C"/>
          <w:sz w:val="21"/>
          <w:szCs w:val="21"/>
          <w:lang w:eastAsia="fr-FR"/>
        </w:rPr>
        <w:t> du code de l'action sociale et des familles ;</w:t>
      </w:r>
    </w:p>
    <w:p w14:paraId="2AC17626"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e. Vivent seuls et ont adopté un enfant, à la condition que, si l'adoption a eu lieu alors que l'enfant était âgé de plus de dix ans, cet enfant ait été à la charge de l'adoptant comme enfant recueilli dans les conditions prévues à </w:t>
      </w:r>
      <w:hyperlink r:id="rId6" w:history="1">
        <w:r w:rsidRPr="00410FFE">
          <w:rPr>
            <w:rFonts w:ascii="Arial" w:eastAsia="Times New Roman" w:hAnsi="Arial" w:cs="Arial"/>
            <w:color w:val="4A5E81"/>
            <w:sz w:val="21"/>
            <w:szCs w:val="21"/>
            <w:u w:val="single"/>
            <w:lang w:eastAsia="fr-FR"/>
          </w:rPr>
          <w:t>l'article 196 </w:t>
        </w:r>
      </w:hyperlink>
      <w:r w:rsidRPr="00410FFE">
        <w:rPr>
          <w:rFonts w:ascii="Arial" w:eastAsia="Times New Roman" w:hAnsi="Arial" w:cs="Arial"/>
          <w:color w:val="3C3C3C"/>
          <w:sz w:val="21"/>
          <w:szCs w:val="21"/>
          <w:lang w:eastAsia="fr-FR"/>
        </w:rPr>
        <w:t>depuis l'âge de dix ans. Cette disposition n'est pas applicable si l'enfant adopté est décédé avant d'avoir atteint l'âge de seize ans ou si l'enfant adopté n'a pas été à la charge exclusive ou principale des contribuables pendant au moins cinq années au cours desquelles ceux-ci vivaient seuls ;</w:t>
      </w:r>
    </w:p>
    <w:p w14:paraId="5ADE472D"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f. Sont âgés de plus de 74 ans et titulaires de la carte du combattant ou d'une pension servie en vertu des dispositions du code des pensions militaires d'invalidité et des victimes de guerre ; cette disposition est également applicable aux veuves, âgées de plus de 74 ans, des personnes mentionnées ci-dessus.</w:t>
      </w:r>
    </w:p>
    <w:p w14:paraId="1C5D6C1B"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2. Le quotient familial prévu à </w:t>
      </w:r>
      <w:hyperlink r:id="rId7" w:history="1">
        <w:r w:rsidRPr="00410FFE">
          <w:rPr>
            <w:rFonts w:ascii="Arial" w:eastAsia="Times New Roman" w:hAnsi="Arial" w:cs="Arial"/>
            <w:color w:val="4A5E81"/>
            <w:sz w:val="21"/>
            <w:szCs w:val="21"/>
            <w:u w:val="single"/>
            <w:lang w:eastAsia="fr-FR"/>
          </w:rPr>
          <w:t>l'article 194 </w:t>
        </w:r>
      </w:hyperlink>
      <w:r w:rsidRPr="00410FFE">
        <w:rPr>
          <w:rFonts w:ascii="Arial" w:eastAsia="Times New Roman" w:hAnsi="Arial" w:cs="Arial"/>
          <w:color w:val="3C3C3C"/>
          <w:sz w:val="21"/>
          <w:szCs w:val="21"/>
          <w:lang w:eastAsia="fr-FR"/>
        </w:rPr>
        <w:t>est augmenté d'une demi-part pour chaque enfant à charge et d'un quart de part pour chaque enfant réputé à charge égale de l'un et l'autre de ses parents, titulaire de la carte “ mobilité inclusion ” portant la mention “ invalidité ” prévue à l'article L. 241-3 du code de l'action sociale et des familles.</w:t>
      </w:r>
    </w:p>
    <w:p w14:paraId="47090AB8"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3. Le quotient familial prévu à l'article 194 est augmenté d'une demi-part pour les contribuables mariés, lorsque l'un ou l'autre des conjoints remplit l'une des conditions fixées aux c, d et d bis du 1.</w:t>
      </w:r>
    </w:p>
    <w:p w14:paraId="40ED168D" w14:textId="77777777" w:rsidR="00410FFE" w:rsidRPr="00410FFE" w:rsidRDefault="00410FFE" w:rsidP="00410FFE">
      <w:pPr>
        <w:shd w:val="clear" w:color="auto" w:fill="FFFFFF"/>
        <w:spacing w:after="240" w:line="240" w:lineRule="auto"/>
        <w:rPr>
          <w:rFonts w:ascii="Arial" w:eastAsia="Times New Roman" w:hAnsi="Arial" w:cs="Arial"/>
          <w:b/>
          <w:bCs/>
          <w:color w:val="3C3C3C"/>
          <w:sz w:val="21"/>
          <w:szCs w:val="21"/>
          <w:lang w:eastAsia="fr-FR"/>
        </w:rPr>
      </w:pPr>
      <w:r w:rsidRPr="00410FFE">
        <w:rPr>
          <w:rFonts w:ascii="Arial" w:eastAsia="Times New Roman" w:hAnsi="Arial" w:cs="Arial"/>
          <w:b/>
          <w:bCs/>
          <w:color w:val="3C3C3C"/>
          <w:sz w:val="21"/>
          <w:szCs w:val="21"/>
          <w:lang w:eastAsia="fr-FR"/>
        </w:rPr>
        <w:t>4. Le quotient familial prévu à l'article 194 est augmenté d'une part pour les contribuables mariés invalides lorsque chacun des conjoints remplit l'une des conditions fixées aux c, d et d bis du 1.</w:t>
      </w:r>
    </w:p>
    <w:p w14:paraId="6286F3AA"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5. Le quotient familial prévu à l'article 194 est augmenté d'une demi-part pour les contribuables célibataires, divorcés ou veufs ayant un ou plusieurs enfants à charge, que celle-ci soit exclusive, principale ou réputée également partagée entre les parents, lorsque ces contribuables remplissent l'une des conditions d'invalidité fixées aux c, d ou d bis du 1.</w:t>
      </w:r>
    </w:p>
    <w:p w14:paraId="6E3EB5CB"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6. Les contribuables mariés, lorsque l'un des conjoints est âgé de plus de 74 ans et titulaire de la carte du combattant ou d'une pension servie en vertu des dispositions du code des pensions militaires d'invalidité et des victimes de guerre, bénéficient d'une demi-part supplémentaire de quotient familial.</w:t>
      </w:r>
    </w:p>
    <w:p w14:paraId="76D1224E" w14:textId="77777777" w:rsidR="00410FFE" w:rsidRPr="00410FFE" w:rsidRDefault="00410FFE" w:rsidP="00410FFE">
      <w:pPr>
        <w:shd w:val="clear" w:color="auto" w:fill="FFFFFF"/>
        <w:spacing w:after="240" w:line="240" w:lineRule="auto"/>
        <w:rPr>
          <w:rFonts w:ascii="Arial" w:eastAsia="Times New Roman" w:hAnsi="Arial" w:cs="Arial"/>
          <w:color w:val="3C3C3C"/>
          <w:sz w:val="21"/>
          <w:szCs w:val="21"/>
          <w:lang w:eastAsia="fr-FR"/>
        </w:rPr>
      </w:pPr>
      <w:r w:rsidRPr="00410FFE">
        <w:rPr>
          <w:rFonts w:ascii="Arial" w:eastAsia="Times New Roman" w:hAnsi="Arial" w:cs="Arial"/>
          <w:color w:val="3C3C3C"/>
          <w:sz w:val="21"/>
          <w:szCs w:val="21"/>
          <w:lang w:eastAsia="fr-FR"/>
        </w:rPr>
        <w:t>Les contribuables qui bénéficient des dispositions des 3 ou 4 ne peuvent bénéficier des dispositions du premier alinéa.</w:t>
      </w:r>
    </w:p>
    <w:p w14:paraId="501E0A63" w14:textId="77777777" w:rsidR="00410FFE" w:rsidRPr="00410FFE" w:rsidRDefault="00410FFE" w:rsidP="00410FFE">
      <w:pPr>
        <w:spacing w:after="0" w:line="240" w:lineRule="auto"/>
        <w:rPr>
          <w:rFonts w:ascii="Times New Roman" w:eastAsia="Times New Roman" w:hAnsi="Times New Roman" w:cs="Times New Roman"/>
          <w:sz w:val="24"/>
          <w:szCs w:val="24"/>
          <w:lang w:eastAsia="fr-FR"/>
        </w:rPr>
      </w:pPr>
    </w:p>
    <w:p w14:paraId="2B816224" w14:textId="77777777" w:rsidR="00410FFE" w:rsidRPr="00410FFE" w:rsidRDefault="00410FFE" w:rsidP="00410FFE">
      <w:pPr>
        <w:shd w:val="clear" w:color="auto" w:fill="FFFFFF"/>
        <w:spacing w:after="240" w:line="240" w:lineRule="auto"/>
        <w:rPr>
          <w:rFonts w:ascii="Arial" w:eastAsia="Times New Roman" w:hAnsi="Arial" w:cs="Arial"/>
          <w:i/>
          <w:iCs/>
          <w:color w:val="3C3C3C"/>
          <w:sz w:val="21"/>
          <w:szCs w:val="21"/>
          <w:lang w:eastAsia="fr-FR"/>
        </w:rPr>
      </w:pPr>
      <w:r w:rsidRPr="00410FFE">
        <w:rPr>
          <w:rFonts w:ascii="Arial" w:eastAsia="Times New Roman" w:hAnsi="Arial" w:cs="Arial"/>
          <w:i/>
          <w:iCs/>
          <w:color w:val="3C3C3C"/>
          <w:sz w:val="21"/>
          <w:szCs w:val="21"/>
          <w:lang w:eastAsia="fr-FR"/>
        </w:rPr>
        <w:t>Modifications effectuées en conséquence des articles 1er et 8 de l’ordonnance n° 2015-1781 du 28 décembre 2015.</w:t>
      </w:r>
    </w:p>
    <w:p w14:paraId="1282483A" w14:textId="77777777" w:rsidR="00430B34" w:rsidRDefault="00430B34"/>
    <w:sectPr w:rsidR="00430B34" w:rsidSect="00410FF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FFE"/>
    <w:rsid w:val="00410FFE"/>
    <w:rsid w:val="00430B34"/>
    <w:rsid w:val="00CB284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C8B8"/>
  <w15:chartTrackingRefBased/>
  <w15:docId w15:val="{1276A3BB-23E0-40C9-9E13-4B88BACE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6282902">
      <w:bodyDiv w:val="1"/>
      <w:marLeft w:val="0"/>
      <w:marRight w:val="0"/>
      <w:marTop w:val="0"/>
      <w:marBottom w:val="0"/>
      <w:divBdr>
        <w:top w:val="none" w:sz="0" w:space="0" w:color="auto"/>
        <w:left w:val="none" w:sz="0" w:space="0" w:color="auto"/>
        <w:bottom w:val="none" w:sz="0" w:space="0" w:color="auto"/>
        <w:right w:val="none" w:sz="0" w:space="0" w:color="auto"/>
      </w:divBdr>
      <w:divsChild>
        <w:div w:id="2117015672">
          <w:marLeft w:val="0"/>
          <w:marRight w:val="0"/>
          <w:marTop w:val="0"/>
          <w:marBottom w:val="0"/>
          <w:divBdr>
            <w:top w:val="none" w:sz="0" w:space="0" w:color="auto"/>
            <w:left w:val="none" w:sz="0" w:space="0" w:color="auto"/>
            <w:bottom w:val="none" w:sz="0" w:space="0" w:color="auto"/>
            <w:right w:val="none" w:sz="0" w:space="0" w:color="auto"/>
          </w:divBdr>
        </w:div>
        <w:div w:id="1369602379">
          <w:marLeft w:val="0"/>
          <w:marRight w:val="0"/>
          <w:marTop w:val="0"/>
          <w:marBottom w:val="0"/>
          <w:divBdr>
            <w:top w:val="none" w:sz="0" w:space="0" w:color="auto"/>
            <w:left w:val="none" w:sz="0" w:space="0" w:color="auto"/>
            <w:bottom w:val="none" w:sz="0" w:space="0" w:color="auto"/>
            <w:right w:val="none" w:sz="0" w:space="0" w:color="auto"/>
          </w:divBdr>
        </w:div>
        <w:div w:id="1502235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legifrance.gouv.fr/affichCodeArticle.do?cidTexte=LEGITEXT000006069577&amp;idArticle=LEGIARTI000006308274&amp;dateTexte=&amp;categorieLien=ci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CodeArticle.do?cidTexte=LEGITEXT000006069577&amp;idArticle=LEGIARTI000006303121&amp;dateTexte=&amp;categorieLien=cid" TargetMode="External"/><Relationship Id="rId5" Type="http://schemas.openxmlformats.org/officeDocument/2006/relationships/hyperlink" Target="https://www.legifrance.gouv.fr/affichCodeArticle.do?cidTexte=LEGITEXT000006074069&amp;idArticle=LEGIARTI000006797041&amp;dateTexte=&amp;categorieLien=cid" TargetMode="External"/><Relationship Id="rId4" Type="http://schemas.openxmlformats.org/officeDocument/2006/relationships/hyperlink" Target="https://www.legifrance.gouv.fr/loda/id/LEGIARTI000034568256/2017-05-05/"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709</Words>
  <Characters>3905</Characters>
  <Application>Microsoft Office Word</Application>
  <DocSecurity>0</DocSecurity>
  <Lines>32</Lines>
  <Paragraphs>9</Paragraphs>
  <ScaleCrop>false</ScaleCrop>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barsacq</dc:creator>
  <cp:keywords/>
  <dc:description/>
  <cp:lastModifiedBy>robert barsacq</cp:lastModifiedBy>
  <cp:revision>1</cp:revision>
  <dcterms:created xsi:type="dcterms:W3CDTF">2021-04-13T15:15:00Z</dcterms:created>
  <dcterms:modified xsi:type="dcterms:W3CDTF">2021-04-13T15:18:00Z</dcterms:modified>
</cp:coreProperties>
</file>